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8"/>
        <w:pBdr/>
        <w:spacing/>
        <w:ind w:firstLine="360"/>
        <w:jc w:val="center"/>
        <w:rPr>
          <w:b/>
        </w:rPr>
      </w:pPr>
      <w:r>
        <w:rPr>
          <w:b/>
        </w:rPr>
        <w:t xml:space="preserve">КАРТОЧКА</w:t>
      </w:r>
      <w:r>
        <w:rPr>
          <w:b/>
        </w:rPr>
      </w:r>
    </w:p>
    <w:p>
      <w:pPr>
        <w:pStyle w:val="668"/>
        <w:pBdr/>
        <w:spacing/>
        <w:ind w:firstLine="360"/>
        <w:jc w:val="center"/>
        <w:rPr>
          <w:b/>
        </w:rPr>
      </w:pPr>
      <w:r>
        <w:rPr>
          <w:b/>
        </w:rPr>
        <w:t xml:space="preserve">компании – контрагента</w:t>
      </w:r>
      <w:r>
        <w:rPr>
          <w:b/>
        </w:rPr>
      </w:r>
    </w:p>
    <w:tbl>
      <w:tblPr>
        <w:tblW w:w="9355" w:type="dxa"/>
        <w:tblInd w:w="124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05"/>
        <w:gridCol w:w="4020"/>
        <w:gridCol w:w="483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Инициатор запроса (наименование организации), Ф.И.О. инициатора от БК ГГ, контактный телефон: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68"/>
              <w:pBdr/>
              <w:spacing/>
              <w:ind w:firstLine="0" w:left="0"/>
              <w:jc w:val="lef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Не заполняется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Полное наименование организации</w:t>
            </w:r>
            <w:r>
              <w:t xml:space="preserve">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ИНН: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ЕГРЮЛ / ЕГРИП: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Адрес юридический: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Адрес фактический: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Телефон контактный: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Эл.почта:</w:t>
            </w:r>
            <w:r/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Сведения об учредителях:</w:t>
            </w:r>
            <w:r/>
          </w:p>
          <w:p>
            <w:pPr>
              <w:pStyle w:val="668"/>
              <w:pBdr/>
              <w:spacing/>
              <w:ind/>
              <w:rPr/>
            </w:pPr>
            <w:r>
              <w:rPr>
                <w:b/>
                <w:i/>
                <w:u w:val="single"/>
              </w:rPr>
              <w:t xml:space="preserve">обязательно к заполнению</w:t>
            </w:r>
            <w:r/>
          </w:p>
          <w:p>
            <w:pPr>
              <w:pStyle w:val="668"/>
              <w:numPr>
                <w:ilvl w:val="0"/>
                <w:numId w:val="1"/>
              </w:numPr>
              <w:pBdr/>
              <w:spacing/>
              <w:ind w:firstLine="0" w:left="0"/>
              <w:rPr/>
            </w:pPr>
            <w:r>
              <w:t xml:space="preserve">ФИО полностью</w:t>
            </w:r>
            <w:r/>
          </w:p>
          <w:p>
            <w:pPr>
              <w:pStyle w:val="668"/>
              <w:numPr>
                <w:ilvl w:val="0"/>
                <w:numId w:val="1"/>
              </w:numPr>
              <w:pBdr/>
              <w:spacing/>
              <w:ind w:firstLine="0" w:left="0"/>
              <w:rPr/>
            </w:pPr>
            <w:r>
              <w:t xml:space="preserve">дата рождения,</w:t>
            </w:r>
            <w:r/>
          </w:p>
          <w:p>
            <w:pPr>
              <w:pStyle w:val="668"/>
              <w:numPr>
                <w:ilvl w:val="0"/>
                <w:numId w:val="3"/>
              </w:numPr>
              <w:pBdr/>
              <w:spacing/>
              <w:ind w:firstLine="0" w:left="0"/>
              <w:rPr/>
            </w:pPr>
            <w:r>
              <w:t xml:space="preserve">адрес регистрации</w:t>
            </w:r>
            <w:r/>
          </w:p>
          <w:p>
            <w:pPr>
              <w:pStyle w:val="668"/>
              <w:numPr>
                <w:ilvl w:val="0"/>
                <w:numId w:val="2"/>
              </w:numPr>
              <w:pBdr/>
              <w:spacing/>
              <w:ind w:firstLine="0" w:left="0"/>
              <w:rPr/>
            </w:pPr>
            <w:r>
              <w:t xml:space="preserve">паспортные данные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Сведения о генеральном директоре:</w:t>
            </w:r>
            <w:r/>
          </w:p>
          <w:p>
            <w:pPr>
              <w:pStyle w:val="668"/>
              <w:pBdr/>
              <w:spacing/>
              <w:ind/>
              <w:rPr/>
            </w:pPr>
            <w:r>
              <w:rPr>
                <w:b/>
                <w:i/>
                <w:u w:val="single"/>
              </w:rPr>
              <w:t xml:space="preserve">обязательно к заполнению</w:t>
            </w:r>
            <w:r/>
          </w:p>
          <w:p>
            <w:pPr>
              <w:pStyle w:val="668"/>
              <w:numPr>
                <w:ilvl w:val="0"/>
                <w:numId w:val="1"/>
              </w:numPr>
              <w:pBdr/>
              <w:spacing/>
              <w:ind w:firstLine="0" w:left="0"/>
              <w:rPr/>
            </w:pPr>
            <w:r>
              <w:t xml:space="preserve">ФИО полностью</w:t>
            </w:r>
            <w:r/>
          </w:p>
          <w:p>
            <w:pPr>
              <w:pStyle w:val="668"/>
              <w:numPr>
                <w:ilvl w:val="0"/>
                <w:numId w:val="1"/>
              </w:numPr>
              <w:pBdr/>
              <w:spacing/>
              <w:ind w:firstLine="0" w:left="0"/>
              <w:rPr/>
            </w:pPr>
            <w:r>
              <w:t xml:space="preserve">дата рождения,</w:t>
            </w:r>
            <w:r/>
          </w:p>
          <w:p>
            <w:pPr>
              <w:pStyle w:val="668"/>
              <w:numPr>
                <w:ilvl w:val="0"/>
                <w:numId w:val="1"/>
              </w:numPr>
              <w:pBdr/>
              <w:spacing/>
              <w:ind w:firstLine="0" w:left="0"/>
              <w:rPr/>
            </w:pPr>
            <w:r>
              <w:t xml:space="preserve">адрес регистрации</w:t>
            </w:r>
            <w:r/>
          </w:p>
          <w:p>
            <w:pPr>
              <w:pStyle w:val="668"/>
              <w:numPr>
                <w:ilvl w:val="0"/>
                <w:numId w:val="1"/>
              </w:numPr>
              <w:pBdr/>
              <w:spacing/>
              <w:ind w:firstLine="0" w:left="0"/>
              <w:rPr/>
            </w:pPr>
            <w:r>
              <w:t xml:space="preserve">паспортные данные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7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а). Характер договора</w:t>
            </w:r>
            <w:r/>
          </w:p>
          <w:p>
            <w:pPr>
              <w:pStyle w:val="668"/>
              <w:pBdr/>
              <w:spacing/>
              <w:ind/>
              <w:rPr/>
            </w:pPr>
            <w:r/>
            <w:r/>
          </w:p>
          <w:p>
            <w:pPr>
              <w:pStyle w:val="668"/>
              <w:pBdr/>
              <w:spacing/>
              <w:ind/>
              <w:rPr/>
            </w:pPr>
            <w:r/>
            <w:r/>
          </w:p>
          <w:p>
            <w:pPr>
              <w:pStyle w:val="668"/>
              <w:pBdr/>
              <w:spacing/>
              <w:ind/>
              <w:rPr/>
            </w:pPr>
            <w:r>
              <w:t xml:space="preserve">б). Предмет договорных отношений с данной компанией – контрагентом</w:t>
            </w:r>
            <w:r/>
          </w:p>
          <w:p>
            <w:pPr>
              <w:pStyle w:val="668"/>
              <w:pBdr/>
              <w:spacing/>
              <w:ind/>
              <w:rPr/>
            </w:pPr>
            <w:r/>
            <w:r/>
          </w:p>
          <w:p>
            <w:pPr>
              <w:pStyle w:val="668"/>
              <w:pBdr/>
              <w:spacing/>
              <w:ind/>
              <w:rPr/>
            </w:pPr>
            <w:r>
              <w:t xml:space="preserve">Желательно пояснить что приобретаем.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68"/>
              <w:pBdr/>
              <w:spacing/>
              <w:ind w:firstLine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а). Заключение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  <w:u w:val="none"/>
              </w:rPr>
              <w:t xml:space="preserve">нового договора, пролонгация, участие в тендере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(нужное подчеркнуть)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68"/>
              <w:pBdr/>
              <w:spacing/>
              <w:ind w:firstLine="0" w:left="0"/>
              <w:jc w:val="left"/>
              <w:rPr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б). </w:t>
            </w:r>
            <w:r>
              <w:rPr>
                <w:sz w:val="24"/>
                <w:szCs w:val="24"/>
                <w:u w:val="none"/>
              </w:rPr>
              <w:t xml:space="preserve">Предоставление услуг, </w:t>
            </w:r>
            <w:r>
              <w:rPr>
                <w:sz w:val="24"/>
                <w:szCs w:val="24"/>
                <w:u w:val="none"/>
              </w:rPr>
              <w:t xml:space="preserve">поставка товаров</w:t>
            </w:r>
            <w:r>
              <w:rPr>
                <w:sz w:val="24"/>
                <w:szCs w:val="24"/>
                <w:u w:val="none"/>
              </w:rPr>
              <w:t xml:space="preserve">, сырья, </w:t>
            </w:r>
            <w:r>
              <w:rPr>
                <w:sz w:val="24"/>
                <w:szCs w:val="24"/>
                <w:u w:val="none"/>
              </w:rPr>
              <w:t xml:space="preserve">выполнение работ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или др.</w:t>
            </w:r>
            <w:r>
              <w:rPr>
                <w:b/>
                <w:i/>
                <w:sz w:val="24"/>
                <w:szCs w:val="24"/>
              </w:rPr>
              <w:t xml:space="preserve"> (нужное подчеркнуть).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68"/>
              <w:pBdr/>
              <w:spacing/>
              <w:ind w:firstLine="0" w:left="0"/>
              <w:jc w:val="lef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Перечислить направление деятельности или услуги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Сумма договора (в месяц или общая сумма по договору, в т.ч. предполагаемая)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rPr>
                <w:i/>
                <w:iCs/>
                <w:sz w:val="24"/>
                <w:szCs w:val="24"/>
              </w:rPr>
              <w:t xml:space="preserve">Не заполняется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Сайт организации: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Социальные сети организации: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Дополнительные сведения, способствующие проведению проверки:</w:t>
            </w:r>
            <w:r/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Контактное лицо: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Телефон контактного лица: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jc w:val="center"/>
              <w:rPr/>
            </w:pPr>
            <w: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0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>
              <w:t xml:space="preserve">Электронный адрес контактного лица: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vMerge w:val="restart"/>
            <w:textDirection w:val="lrTb"/>
            <w:noWrap w:val="false"/>
          </w:tcPr>
          <w:p>
            <w:pPr>
              <w:pStyle w:val="668"/>
              <w:pBdr/>
              <w:spacing/>
              <w:ind/>
              <w:rPr/>
            </w:pPr>
            <w:r/>
            <w:r/>
          </w:p>
        </w:tc>
      </w:tr>
    </w:tbl>
    <w:p>
      <w:pPr>
        <w:pStyle w:val="668"/>
        <w:pBdr/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Droid Sans">
    <w:panose1 w:val="020B0606030804020204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3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8"/>
    <w:next w:val="66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8"/>
    <w:next w:val="66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8"/>
    <w:next w:val="6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8"/>
    <w:next w:val="66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8"/>
    <w:next w:val="66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8"/>
    <w:next w:val="66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669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69"/>
    <w:link w:val="6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8"/>
    <w:next w:val="66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8"/>
    <w:next w:val="66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8"/>
    <w:next w:val="66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9"/>
    <w:link w:val="175"/>
    <w:uiPriority w:val="99"/>
    <w:pPr>
      <w:pBdr/>
      <w:spacing/>
      <w:ind/>
    </w:pPr>
  </w:style>
  <w:style w:type="paragraph" w:styleId="177">
    <w:name w:val="Footer"/>
    <w:basedOn w:val="66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9"/>
    <w:link w:val="177"/>
    <w:uiPriority w:val="99"/>
    <w:pPr>
      <w:pBdr/>
      <w:spacing/>
      <w:ind/>
    </w:pPr>
  </w:style>
  <w:style w:type="paragraph" w:styleId="180">
    <w:name w:val="footnote text"/>
    <w:basedOn w:val="66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89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0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1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2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3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4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5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6">
    <w:name w:val="toc 9"/>
    <w:basedOn w:val="668"/>
    <w:next w:val="668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styleId="669" w:default="1">
    <w:name w:val="Default Paragraph Font"/>
    <w:uiPriority w:val="1"/>
    <w:unhideWhenUsed/>
    <w:qFormat/>
    <w:pPr>
      <w:pBdr/>
      <w:spacing/>
      <w:ind/>
    </w:pPr>
  </w:style>
  <w:style w:type="character" w:styleId="67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671" w:customStyle="1">
    <w:name w:val="js-phone-number"/>
    <w:basedOn w:val="669"/>
    <w:qFormat/>
    <w:pPr>
      <w:pBdr/>
      <w:spacing/>
      <w:ind/>
    </w:pPr>
  </w:style>
  <w:style w:type="paragraph" w:styleId="672">
    <w:name w:val="Заголовок"/>
    <w:basedOn w:val="668"/>
    <w:next w:val="673"/>
    <w:qFormat/>
    <w:pPr>
      <w:keepNext w:val="true"/>
      <w:pBdr/>
      <w:spacing w:after="120" w:before="240"/>
      <w:ind/>
    </w:pPr>
    <w:rPr>
      <w:rFonts w:ascii="Liberation Sans" w:hAnsi="Liberation Sans" w:eastAsia="Tahoma" w:cs="Droid Sans"/>
      <w:sz w:val="28"/>
      <w:szCs w:val="28"/>
    </w:rPr>
  </w:style>
  <w:style w:type="paragraph" w:styleId="673">
    <w:name w:val="Body Text"/>
    <w:basedOn w:val="668"/>
    <w:pPr>
      <w:pBdr/>
      <w:spacing w:after="140" w:before="0" w:line="276" w:lineRule="auto"/>
      <w:ind/>
    </w:pPr>
  </w:style>
  <w:style w:type="paragraph" w:styleId="674">
    <w:name w:val="List"/>
    <w:basedOn w:val="673"/>
    <w:pPr>
      <w:pBdr/>
      <w:spacing/>
      <w:ind/>
    </w:pPr>
    <w:rPr>
      <w:rFonts w:cs="Droid Sans"/>
    </w:rPr>
  </w:style>
  <w:style w:type="paragraph" w:styleId="675">
    <w:name w:val="Caption"/>
    <w:basedOn w:val="668"/>
    <w:qFormat/>
    <w:pPr>
      <w:suppressLineNumbers w:val="true"/>
      <w:pBdr/>
      <w:spacing w:after="120" w:before="120"/>
      <w:ind/>
    </w:pPr>
    <w:rPr>
      <w:rFonts w:cs="Droid Sans"/>
      <w:i/>
      <w:iCs/>
    </w:rPr>
  </w:style>
  <w:style w:type="paragraph" w:styleId="676">
    <w:name w:val="Указатель"/>
    <w:basedOn w:val="668"/>
    <w:qFormat/>
    <w:pPr>
      <w:suppressLineNumbers w:val="true"/>
      <w:pBdr/>
      <w:spacing/>
      <w:ind/>
    </w:pPr>
    <w:rPr>
      <w:rFonts w:cs="Droid Sans"/>
    </w:rPr>
  </w:style>
  <w:style w:type="paragraph" w:styleId="677">
    <w:name w:val="Title"/>
    <w:basedOn w:val="668"/>
    <w:next w:val="673"/>
    <w:qFormat/>
    <w:pPr>
      <w:keepNext w:val="true"/>
      <w:pBdr/>
      <w:spacing w:after="120" w:before="240"/>
      <w:ind/>
    </w:pPr>
    <w:rPr>
      <w:rFonts w:ascii="Liberation Sans" w:hAnsi="Liberation Sans" w:eastAsia="Tahoma" w:cs="Droid Sans"/>
      <w:sz w:val="28"/>
      <w:szCs w:val="28"/>
    </w:rPr>
  </w:style>
  <w:style w:type="paragraph" w:styleId="678">
    <w:name w:val="index heading"/>
    <w:basedOn w:val="668"/>
    <w:qFormat/>
    <w:pPr>
      <w:suppressLineNumbers w:val="true"/>
      <w:pBdr/>
      <w:spacing/>
      <w:ind/>
    </w:pPr>
    <w:rPr>
      <w:rFonts w:cs="Droid Sans"/>
    </w:rPr>
  </w:style>
  <w:style w:type="numbering" w:styleId="679" w:customStyle="1">
    <w:name w:val="Без списка"/>
    <w:uiPriority w:val="99"/>
    <w:semiHidden/>
    <w:unhideWhenUsed/>
    <w:qFormat/>
    <w:pPr>
      <w:pBdr/>
      <w:spacing/>
      <w:ind/>
    </w:pPr>
  </w:style>
  <w:style w:type="table" w:styleId="680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HeadingPairs>
    <vt:vector size="0" baseType="variant"/>
  </HeadingPairs>
  <TitlesOfParts>
    <vt:vector size="0" baseType="lpstr"/>
  </TitlesOfParts>
  <Company>OK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dc:description/>
  <dc:language>ru-RU</dc:language>
  <cp:revision>5</cp:revision>
  <dcterms:created xsi:type="dcterms:W3CDTF">2025-04-09T06:34:00Z</dcterms:created>
  <dcterms:modified xsi:type="dcterms:W3CDTF">2025-10-10T06:56:02Z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